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CF4B9C" w:rsidR="00CF4B9C" w:rsidP="00CF4B9C" w:rsidRDefault="00CF4B9C" w14:paraId="40C6941F" w14:textId="77777777">
      <w:pPr>
        <w:ind w:left="0"/>
        <w:rPr>
          <w:b/>
          <w:sz w:val="22"/>
        </w:rPr>
      </w:pPr>
      <w:r w:rsidRPr="00CF4B9C">
        <w:rPr>
          <w:b/>
          <w:sz w:val="22"/>
        </w:rPr>
        <w:t>ENVIRONMENTAL POLICY STATEMENT</w:t>
      </w:r>
    </w:p>
    <w:p w:rsidRPr="00FD34FA" w:rsidR="00CF4B9C" w:rsidP="00FD34FA" w:rsidRDefault="00CF4B9C" w14:paraId="6E3759CF" w14:textId="77777777">
      <w:pPr>
        <w:spacing w:before="60" w:after="60"/>
        <w:ind w:left="0"/>
        <w:rPr>
          <w:bCs/>
          <w:szCs w:val="18"/>
        </w:rPr>
      </w:pPr>
      <w:r w:rsidRPr="00FD34FA">
        <w:rPr>
          <w:bCs/>
          <w:szCs w:val="18"/>
        </w:rPr>
        <w:t>Roe Environmental Limited is firmly committed to the prevention of pollution and the safeguarding of the environment.</w:t>
      </w:r>
    </w:p>
    <w:p w:rsidRPr="00FD34FA" w:rsidR="00CF4B9C" w:rsidP="00FD34FA" w:rsidRDefault="00CF4B9C" w14:paraId="5C7D5F1F" w14:textId="77777777">
      <w:pPr>
        <w:spacing w:before="60" w:after="60"/>
        <w:ind w:left="0"/>
        <w:rPr>
          <w:bCs/>
          <w:szCs w:val="18"/>
        </w:rPr>
      </w:pPr>
      <w:r w:rsidRPr="00FD34FA">
        <w:rPr>
          <w:bCs/>
          <w:szCs w:val="18"/>
        </w:rPr>
        <w:t xml:space="preserve">It is our policy to carry out our operations in a manner that takes account of all foreseeable risks and hazards to the environment and the persons who may be affected by that environment, and in accordance with the principles of the environmental management system standard </w:t>
      </w:r>
      <w:proofErr w:type="spellStart"/>
      <w:r w:rsidRPr="00FD34FA">
        <w:rPr>
          <w:bCs/>
          <w:szCs w:val="18"/>
        </w:rPr>
        <w:t>ISO14001</w:t>
      </w:r>
      <w:proofErr w:type="spellEnd"/>
      <w:r w:rsidRPr="00FD34FA">
        <w:rPr>
          <w:bCs/>
          <w:szCs w:val="18"/>
        </w:rPr>
        <w:t>.</w:t>
      </w:r>
    </w:p>
    <w:p w:rsidRPr="00FD34FA" w:rsidR="00CF4B9C" w:rsidP="00FD34FA" w:rsidRDefault="00CF4B9C" w14:paraId="50B70B17" w14:textId="77777777">
      <w:pPr>
        <w:spacing w:before="60" w:after="60"/>
        <w:ind w:left="0"/>
        <w:rPr>
          <w:bCs/>
          <w:szCs w:val="18"/>
        </w:rPr>
      </w:pPr>
      <w:r w:rsidRPr="00FD34FA">
        <w:rPr>
          <w:bCs/>
          <w:szCs w:val="18"/>
        </w:rPr>
        <w:t>We are committed to conducting business in an ethical and socially responsible manner. This commitment is essential to our sustainable business strategy.</w:t>
      </w:r>
    </w:p>
    <w:p w:rsidRPr="00FD34FA" w:rsidR="00CF4B9C" w:rsidP="00FD34FA" w:rsidRDefault="00CF4B9C" w14:paraId="1931619A" w14:textId="332F9A11">
      <w:pPr>
        <w:spacing w:before="60" w:after="60"/>
        <w:ind w:left="0"/>
        <w:rPr>
          <w:bCs/>
          <w:szCs w:val="18"/>
        </w:rPr>
      </w:pPr>
      <w:r w:rsidRPr="00FD34FA">
        <w:rPr>
          <w:bCs/>
          <w:szCs w:val="18"/>
        </w:rPr>
        <w:t xml:space="preserve">Our environmental goals are to provide our services and to use products that are environmentally </w:t>
      </w:r>
      <w:r w:rsidRPr="00FD34FA" w:rsidR="004F4272">
        <w:rPr>
          <w:bCs/>
          <w:szCs w:val="18"/>
        </w:rPr>
        <w:t>sound and</w:t>
      </w:r>
      <w:r w:rsidRPr="00FD34FA">
        <w:rPr>
          <w:bCs/>
          <w:szCs w:val="18"/>
        </w:rPr>
        <w:t xml:space="preserve"> conduct our operations in an environmentally responsible manner.</w:t>
      </w:r>
    </w:p>
    <w:p w:rsidRPr="00FD34FA" w:rsidR="00CF4B9C" w:rsidP="00FD34FA" w:rsidRDefault="00CF4B9C" w14:paraId="167A082C" w14:textId="77777777">
      <w:pPr>
        <w:spacing w:before="60" w:after="60"/>
        <w:ind w:left="0"/>
        <w:rPr>
          <w:bCs/>
          <w:szCs w:val="18"/>
        </w:rPr>
      </w:pPr>
      <w:r w:rsidRPr="00FD34FA">
        <w:rPr>
          <w:bCs/>
          <w:szCs w:val="18"/>
        </w:rPr>
        <w:t>To achieve these goals, the company has established the following environmental policy. All staff are expected to support the implementation of this policy in accordance with their roles and responsibilities in the organisation.</w:t>
      </w:r>
    </w:p>
    <w:p w:rsidRPr="00FD34FA" w:rsidR="00CF4B9C" w:rsidP="00B60F3F" w:rsidRDefault="00CF4B9C" w14:paraId="033A7035" w14:textId="6A0530D6">
      <w:pPr>
        <w:pStyle w:val="ListParagraph"/>
        <w:numPr>
          <w:ilvl w:val="0"/>
          <w:numId w:val="3"/>
        </w:numPr>
        <w:spacing w:before="60" w:after="60"/>
        <w:rPr>
          <w:bCs/>
          <w:szCs w:val="18"/>
        </w:rPr>
      </w:pPr>
      <w:r w:rsidRPr="00FD34FA">
        <w:rPr>
          <w:b/>
          <w:szCs w:val="18"/>
        </w:rPr>
        <w:t>Product Utilisation</w:t>
      </w:r>
      <w:r w:rsidRPr="00FD34FA" w:rsidR="004F4272">
        <w:rPr>
          <w:b/>
          <w:szCs w:val="18"/>
        </w:rPr>
        <w:t>-</w:t>
      </w:r>
      <w:r w:rsidRPr="00FD34FA">
        <w:rPr>
          <w:bCs/>
          <w:szCs w:val="18"/>
        </w:rPr>
        <w:t xml:space="preserve">ensure that the products utilised during operations are safe, and that we minimise the use of hazardous materials, </w:t>
      </w:r>
      <w:proofErr w:type="gramStart"/>
      <w:r w:rsidRPr="00FD34FA">
        <w:rPr>
          <w:bCs/>
          <w:szCs w:val="18"/>
        </w:rPr>
        <w:t>energy</w:t>
      </w:r>
      <w:proofErr w:type="gramEnd"/>
      <w:r w:rsidRPr="00FD34FA">
        <w:rPr>
          <w:bCs/>
          <w:szCs w:val="18"/>
        </w:rPr>
        <w:t xml:space="preserve"> and other resources.</w:t>
      </w:r>
    </w:p>
    <w:p w:rsidRPr="00FD34FA" w:rsidR="00CF4B9C" w:rsidP="00B60F3F" w:rsidRDefault="00CF4B9C" w14:paraId="73EF5BD8" w14:textId="4DE4525A">
      <w:pPr>
        <w:pStyle w:val="ListParagraph"/>
        <w:numPr>
          <w:ilvl w:val="0"/>
          <w:numId w:val="3"/>
        </w:numPr>
        <w:spacing w:before="60" w:after="60"/>
        <w:rPr>
          <w:bCs/>
          <w:szCs w:val="18"/>
        </w:rPr>
      </w:pPr>
      <w:r w:rsidRPr="00FD34FA">
        <w:rPr>
          <w:b/>
          <w:szCs w:val="18"/>
        </w:rPr>
        <w:t>Pollution Prevention</w:t>
      </w:r>
      <w:r w:rsidRPr="00FD34FA" w:rsidR="004F4272">
        <w:rPr>
          <w:b/>
          <w:szCs w:val="18"/>
        </w:rPr>
        <w:t>-</w:t>
      </w:r>
      <w:r w:rsidRPr="00FD34FA">
        <w:rPr>
          <w:bCs/>
          <w:szCs w:val="18"/>
        </w:rPr>
        <w:t xml:space="preserve">conduct our operations in a manner that prevents pollution, conserves </w:t>
      </w:r>
      <w:r w:rsidRPr="00FD34FA" w:rsidR="00383C89">
        <w:rPr>
          <w:bCs/>
          <w:szCs w:val="18"/>
        </w:rPr>
        <w:t>resource</w:t>
      </w:r>
      <w:r w:rsidRPr="00FD34FA">
        <w:rPr>
          <w:bCs/>
          <w:szCs w:val="18"/>
        </w:rPr>
        <w:t xml:space="preserve">, reduces the use of raw materials, </w:t>
      </w:r>
      <w:proofErr w:type="gramStart"/>
      <w:r w:rsidRPr="00FD34FA">
        <w:rPr>
          <w:bCs/>
          <w:szCs w:val="18"/>
        </w:rPr>
        <w:t>energy</w:t>
      </w:r>
      <w:proofErr w:type="gramEnd"/>
      <w:r w:rsidRPr="00FD34FA">
        <w:rPr>
          <w:bCs/>
          <w:szCs w:val="18"/>
        </w:rPr>
        <w:t xml:space="preserve"> and supplies.</w:t>
      </w:r>
    </w:p>
    <w:p w:rsidRPr="00FD34FA" w:rsidR="00CF4B9C" w:rsidP="00B60F3F" w:rsidRDefault="00CF4B9C" w14:paraId="40A36F52" w14:textId="55E8DD66">
      <w:pPr>
        <w:pStyle w:val="ListParagraph"/>
        <w:numPr>
          <w:ilvl w:val="0"/>
          <w:numId w:val="3"/>
        </w:numPr>
        <w:spacing w:before="60" w:after="60"/>
        <w:rPr>
          <w:bCs/>
          <w:szCs w:val="18"/>
        </w:rPr>
      </w:pPr>
      <w:r w:rsidRPr="00FD34FA">
        <w:rPr>
          <w:b/>
          <w:szCs w:val="18"/>
        </w:rPr>
        <w:t>Continual Improvement</w:t>
      </w:r>
      <w:r w:rsidRPr="00FD34FA" w:rsidR="004F4272">
        <w:rPr>
          <w:b/>
          <w:szCs w:val="18"/>
        </w:rPr>
        <w:t>-</w:t>
      </w:r>
      <w:r w:rsidRPr="00FD34FA">
        <w:rPr>
          <w:bCs/>
          <w:szCs w:val="18"/>
        </w:rPr>
        <w:t>integrate environmental management into our business and decision-making processes, regularly measure performance, and practise continual improvement.</w:t>
      </w:r>
    </w:p>
    <w:p w:rsidRPr="00FD34FA" w:rsidR="00CF4B9C" w:rsidP="00FD34FA" w:rsidRDefault="00CF4B9C" w14:paraId="58F28550" w14:textId="77777777">
      <w:pPr>
        <w:spacing w:before="60" w:after="60"/>
        <w:ind w:left="0"/>
        <w:rPr>
          <w:bCs/>
          <w:szCs w:val="18"/>
        </w:rPr>
      </w:pPr>
      <w:r w:rsidRPr="00FD34FA">
        <w:rPr>
          <w:bCs/>
          <w:szCs w:val="18"/>
        </w:rPr>
        <w:t>To ensure this policy remains consistent with our health and safety and quality management policies.</w:t>
      </w:r>
    </w:p>
    <w:p w:rsidRPr="00FD34FA" w:rsidR="00CF4B9C" w:rsidP="00B60F3F" w:rsidRDefault="00CF4B9C" w14:paraId="6AF136CF" w14:textId="6C9E48F9">
      <w:pPr>
        <w:pStyle w:val="ListParagraph"/>
        <w:numPr>
          <w:ilvl w:val="0"/>
          <w:numId w:val="4"/>
        </w:numPr>
        <w:spacing w:before="60" w:after="60"/>
        <w:rPr>
          <w:bCs/>
          <w:szCs w:val="18"/>
        </w:rPr>
      </w:pPr>
      <w:r w:rsidRPr="00FD34FA">
        <w:rPr>
          <w:b/>
          <w:szCs w:val="18"/>
        </w:rPr>
        <w:t>Legal Compliance</w:t>
      </w:r>
      <w:r w:rsidRPr="00FD34FA" w:rsidR="004F4272">
        <w:rPr>
          <w:bCs/>
          <w:szCs w:val="18"/>
        </w:rPr>
        <w:t>-</w:t>
      </w:r>
      <w:r w:rsidRPr="00FD34FA">
        <w:rPr>
          <w:bCs/>
          <w:szCs w:val="18"/>
        </w:rPr>
        <w:t xml:space="preserve">ensure that all products </w:t>
      </w:r>
      <w:r w:rsidRPr="00FD34FA" w:rsidR="00383C89">
        <w:rPr>
          <w:bCs/>
          <w:szCs w:val="18"/>
        </w:rPr>
        <w:t>used,</w:t>
      </w:r>
      <w:r w:rsidRPr="00FD34FA">
        <w:rPr>
          <w:bCs/>
          <w:szCs w:val="18"/>
        </w:rPr>
        <w:t xml:space="preserve"> and all operations comply with applicable environmental regulations and requirements. </w:t>
      </w:r>
    </w:p>
    <w:p w:rsidRPr="00FD34FA" w:rsidR="00CF4B9C" w:rsidP="00FD34FA" w:rsidRDefault="00CF4B9C" w14:paraId="42D0A0DB" w14:textId="420BA78A">
      <w:pPr>
        <w:spacing w:before="60" w:after="60"/>
        <w:ind w:left="0"/>
        <w:rPr>
          <w:bCs/>
          <w:szCs w:val="18"/>
        </w:rPr>
      </w:pPr>
      <w:r w:rsidRPr="00FD34FA">
        <w:rPr>
          <w:bCs/>
          <w:szCs w:val="18"/>
        </w:rPr>
        <w:t xml:space="preserve">To identify all reasonably foreseeable environmental risks and hazards associated with our activities in order to eliminate the threat of contamination to the </w:t>
      </w:r>
      <w:r w:rsidRPr="00FD34FA" w:rsidR="00383C89">
        <w:rPr>
          <w:bCs/>
          <w:szCs w:val="18"/>
        </w:rPr>
        <w:t>environment or</w:t>
      </w:r>
      <w:r w:rsidRPr="00FD34FA">
        <w:rPr>
          <w:bCs/>
          <w:szCs w:val="18"/>
        </w:rPr>
        <w:t xml:space="preserve"> introduce methods of monitoring and control.</w:t>
      </w:r>
    </w:p>
    <w:p w:rsidRPr="00FD34FA" w:rsidR="00383C89" w:rsidP="00B60F3F" w:rsidRDefault="00CF4B9C" w14:paraId="4B0387B9" w14:textId="77777777">
      <w:pPr>
        <w:pStyle w:val="ListParagraph"/>
        <w:numPr>
          <w:ilvl w:val="0"/>
          <w:numId w:val="4"/>
        </w:numPr>
        <w:spacing w:before="60" w:after="60"/>
        <w:rPr>
          <w:bCs/>
          <w:szCs w:val="18"/>
        </w:rPr>
      </w:pPr>
      <w:r w:rsidRPr="00FD34FA">
        <w:rPr>
          <w:b/>
          <w:szCs w:val="18"/>
        </w:rPr>
        <w:t>Stakeholder Involvement</w:t>
      </w:r>
      <w:r w:rsidRPr="00FD34FA" w:rsidR="00383C89">
        <w:rPr>
          <w:b/>
          <w:szCs w:val="18"/>
        </w:rPr>
        <w:t>-</w:t>
      </w:r>
      <w:r w:rsidRPr="00FD34FA">
        <w:rPr>
          <w:bCs/>
          <w:szCs w:val="18"/>
        </w:rPr>
        <w:t>provide clear and open environmental information about our services and operations to customers, shareholders, employee’s, government agencies and the general public.</w:t>
      </w:r>
      <w:r w:rsidRPr="00FD34FA" w:rsidR="00383C89">
        <w:rPr>
          <w:bCs/>
          <w:szCs w:val="18"/>
        </w:rPr>
        <w:t xml:space="preserve"> </w:t>
      </w:r>
    </w:p>
    <w:p w:rsidRPr="00FD34FA" w:rsidR="00CF4B9C" w:rsidP="00FD34FA" w:rsidRDefault="00CF4B9C" w14:paraId="1BC9B356" w14:textId="66A109D8">
      <w:pPr>
        <w:spacing w:before="60" w:after="60"/>
        <w:rPr>
          <w:bCs/>
          <w:szCs w:val="18"/>
        </w:rPr>
      </w:pPr>
      <w:r w:rsidRPr="00FD34FA">
        <w:rPr>
          <w:bCs/>
          <w:szCs w:val="18"/>
        </w:rPr>
        <w:t>Inform suppliers of products and services of our environmental requirements and encourage them to adopt sound environmental practices.</w:t>
      </w:r>
    </w:p>
    <w:p w:rsidRPr="00FD34FA" w:rsidR="00CF4B9C" w:rsidP="00FD34FA" w:rsidRDefault="00CF4B9C" w14:paraId="23F1A79C" w14:textId="77777777">
      <w:pPr>
        <w:spacing w:before="60" w:after="60"/>
        <w:rPr>
          <w:bCs/>
          <w:szCs w:val="18"/>
        </w:rPr>
      </w:pPr>
      <w:r w:rsidRPr="00FD34FA">
        <w:rPr>
          <w:bCs/>
          <w:szCs w:val="18"/>
        </w:rPr>
        <w:t>Foster environmental responsibility amongst our staff, particularly the management and reduction in the use of natural resources.</w:t>
      </w:r>
    </w:p>
    <w:p w:rsidRPr="00FD34FA" w:rsidR="00CF4B9C" w:rsidP="00FD34FA" w:rsidRDefault="005A62AA" w14:paraId="1090D3EA" w14:textId="457F2918">
      <w:pPr>
        <w:spacing w:before="60" w:after="60"/>
        <w:ind w:left="0"/>
        <w:rPr>
          <w:bCs/>
          <w:szCs w:val="18"/>
        </w:rPr>
      </w:pPr>
      <w:r w:rsidRPr="00FD34FA">
        <w:rPr>
          <w:bCs/>
          <w:szCs w:val="18"/>
        </w:rPr>
        <w:t xml:space="preserve">The </w:t>
      </w:r>
      <w:r w:rsidRPr="00FD34FA" w:rsidR="00CF4B9C">
        <w:rPr>
          <w:bCs/>
          <w:szCs w:val="18"/>
        </w:rPr>
        <w:t>company</w:t>
      </w:r>
      <w:r w:rsidRPr="00FD34FA">
        <w:rPr>
          <w:bCs/>
          <w:szCs w:val="18"/>
        </w:rPr>
        <w:t xml:space="preserve"> </w:t>
      </w:r>
      <w:r w:rsidRPr="00FD34FA" w:rsidR="00CF4B9C">
        <w:rPr>
          <w:bCs/>
          <w:szCs w:val="18"/>
        </w:rPr>
        <w:t xml:space="preserve">will actively seek to make this policy relevant to our </w:t>
      </w:r>
      <w:r w:rsidRPr="00FD34FA">
        <w:rPr>
          <w:bCs/>
          <w:szCs w:val="18"/>
        </w:rPr>
        <w:t>activities and</w:t>
      </w:r>
      <w:r w:rsidRPr="00FD34FA" w:rsidR="00CF4B9C">
        <w:rPr>
          <w:bCs/>
          <w:szCs w:val="18"/>
        </w:rPr>
        <w:t xml:space="preserve"> will bring these aims and objectives to the attention of all our employees.</w:t>
      </w:r>
    </w:p>
    <w:p w:rsidRPr="00FD34FA" w:rsidR="00CF4B9C" w:rsidP="00FD34FA" w:rsidRDefault="00CF4B9C" w14:paraId="1F1E6AF6" w14:textId="729E79ED">
      <w:pPr>
        <w:spacing w:before="60" w:after="60"/>
        <w:ind w:left="0"/>
        <w:rPr>
          <w:bCs/>
          <w:szCs w:val="18"/>
        </w:rPr>
      </w:pPr>
      <w:r w:rsidRPr="00FD34FA">
        <w:rPr>
          <w:bCs/>
          <w:szCs w:val="18"/>
        </w:rPr>
        <w:t xml:space="preserve">We are committed to seeing this policy work effectively with the intention of continually improving our environmental </w:t>
      </w:r>
      <w:r w:rsidRPr="00FD34FA" w:rsidR="005A62AA">
        <w:rPr>
          <w:bCs/>
          <w:szCs w:val="18"/>
        </w:rPr>
        <w:t>performance and</w:t>
      </w:r>
      <w:r w:rsidRPr="00FD34FA">
        <w:rPr>
          <w:bCs/>
          <w:szCs w:val="18"/>
        </w:rPr>
        <w:t xml:space="preserve"> will implement a system of monitoring and auditing to check our progress.</w:t>
      </w:r>
    </w:p>
    <w:p w:rsidRPr="00FD34FA" w:rsidR="00CF4B9C" w:rsidP="00FD34FA" w:rsidRDefault="00CF4B9C" w14:paraId="6CFA269F" w14:textId="128AB1D2">
      <w:pPr>
        <w:spacing w:before="60" w:after="60"/>
        <w:ind w:left="0"/>
        <w:rPr>
          <w:bCs/>
          <w:szCs w:val="18"/>
        </w:rPr>
      </w:pPr>
      <w:r w:rsidRPr="00FD34FA">
        <w:rPr>
          <w:bCs/>
          <w:szCs w:val="18"/>
        </w:rPr>
        <w:t xml:space="preserve">A copy of the policy will be displayed on all relevant notice boards around the business and within the vehicle folders. </w:t>
      </w:r>
    </w:p>
    <w:p w:rsidRPr="00FD34FA" w:rsidR="007D14DA" w:rsidP="00FD34FA" w:rsidRDefault="00CF4B9C" w14:paraId="0E0A2E5B" w14:textId="42D08311">
      <w:pPr>
        <w:spacing w:before="60" w:after="60"/>
        <w:ind w:left="0"/>
        <w:rPr>
          <w:bCs/>
          <w:szCs w:val="18"/>
        </w:rPr>
      </w:pPr>
      <w:r w:rsidRPr="00FD34FA">
        <w:rPr>
          <w:bCs/>
          <w:szCs w:val="18"/>
        </w:rPr>
        <w:t xml:space="preserve">This policy will be reviewed </w:t>
      </w:r>
      <w:r w:rsidRPr="00FD34FA" w:rsidR="00FC1008">
        <w:rPr>
          <w:bCs/>
          <w:szCs w:val="18"/>
        </w:rPr>
        <w:t xml:space="preserve">during the Annual Management Review Process with Senior </w:t>
      </w:r>
      <w:r w:rsidRPr="00FD34FA">
        <w:rPr>
          <w:bCs/>
          <w:szCs w:val="18"/>
        </w:rPr>
        <w:t xml:space="preserve">managers, and through our system of internal audits, to determine </w:t>
      </w:r>
      <w:r w:rsidRPr="00FD34FA" w:rsidR="005A62AA">
        <w:rPr>
          <w:bCs/>
          <w:szCs w:val="18"/>
        </w:rPr>
        <w:t>its</w:t>
      </w:r>
      <w:r w:rsidRPr="00FD34FA">
        <w:rPr>
          <w:bCs/>
          <w:szCs w:val="18"/>
        </w:rPr>
        <w:t xml:space="preserve"> effectiveness. </w:t>
      </w:r>
      <w:r w:rsidRPr="00FD34FA" w:rsidR="0060477D">
        <w:rPr>
          <w:bCs/>
          <w:szCs w:val="18"/>
        </w:rPr>
        <w:t>T</w:t>
      </w:r>
      <w:r w:rsidRPr="00FD34FA">
        <w:rPr>
          <w:bCs/>
          <w:szCs w:val="18"/>
        </w:rPr>
        <w:t xml:space="preserve">he Policy will be amended and improved, </w:t>
      </w:r>
      <w:r w:rsidRPr="00FD34FA" w:rsidR="00FD34FA">
        <w:rPr>
          <w:bCs/>
          <w:szCs w:val="18"/>
        </w:rPr>
        <w:t>with</w:t>
      </w:r>
      <w:r w:rsidRPr="00FD34FA">
        <w:rPr>
          <w:bCs/>
          <w:szCs w:val="18"/>
        </w:rPr>
        <w:t xml:space="preserve"> </w:t>
      </w:r>
      <w:r w:rsidRPr="00FD34FA" w:rsidR="0060477D">
        <w:rPr>
          <w:bCs/>
          <w:szCs w:val="18"/>
        </w:rPr>
        <w:t xml:space="preserve">significant </w:t>
      </w:r>
      <w:r w:rsidRPr="00FD34FA">
        <w:rPr>
          <w:bCs/>
          <w:szCs w:val="18"/>
        </w:rPr>
        <w:t>changes br</w:t>
      </w:r>
      <w:r w:rsidRPr="00FD34FA" w:rsidR="0060477D">
        <w:rPr>
          <w:bCs/>
          <w:szCs w:val="18"/>
        </w:rPr>
        <w:t>iefed to all staff</w:t>
      </w:r>
      <w:r w:rsidRPr="00FD34FA">
        <w:rPr>
          <w:bCs/>
          <w:szCs w:val="18"/>
        </w:rPr>
        <w:t>.</w:t>
      </w:r>
    </w:p>
    <w:p w:rsidRPr="003A7E10" w:rsidR="001D7833" w:rsidP="003A7E10" w:rsidRDefault="001D7833" w14:paraId="1E4143A9" w14:textId="637CAD42">
      <w:pPr>
        <w:ind w:left="0"/>
        <w:rPr>
          <w:rFonts w:cs="Arial"/>
          <w:sz w:val="22"/>
          <w:szCs w:val="22"/>
        </w:rPr>
      </w:pPr>
      <w:r w:rsidRPr="003A7E10">
        <w:rPr>
          <w:rFonts w:cs="Arial"/>
          <w:noProof/>
          <w:sz w:val="22"/>
          <w:szCs w:val="22"/>
          <w:lang w:val="en-US"/>
        </w:rPr>
        <w:drawing>
          <wp:anchor distT="0" distB="0" distL="114300" distR="114300" simplePos="0" relativeHeight="251659264" behindDoc="0" locked="0" layoutInCell="1" allowOverlap="1" wp14:anchorId="554416D7" wp14:editId="302D0861">
            <wp:simplePos x="0" y="0"/>
            <wp:positionH relativeFrom="column">
              <wp:posOffset>1457325</wp:posOffset>
            </wp:positionH>
            <wp:positionV relativeFrom="paragraph">
              <wp:posOffset>8870950</wp:posOffset>
            </wp:positionV>
            <wp:extent cx="1543050" cy="433070"/>
            <wp:effectExtent l="0" t="0" r="0" b="5080"/>
            <wp:wrapNone/>
            <wp:docPr id="1" name="Picture 1" descr="Mark M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Ma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7E10">
        <w:rPr>
          <w:rFonts w:cs="Arial"/>
          <w:sz w:val="22"/>
          <w:szCs w:val="22"/>
        </w:rPr>
        <w:t xml:space="preserve">Signed        </w:t>
      </w:r>
      <w:r w:rsidR="002A58CF">
        <w:rPr>
          <w:rFonts w:cs="Arial"/>
          <w:noProof/>
          <w:sz w:val="22"/>
          <w:szCs w:val="22"/>
        </w:rPr>
        <w:drawing>
          <wp:inline distT="0" distB="0" distL="0" distR="0" wp14:anchorId="14EE786C" wp14:editId="0669641B">
            <wp:extent cx="1246680" cy="666308"/>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423" cy="718014"/>
                    </a:xfrm>
                    <a:prstGeom prst="rect">
                      <a:avLst/>
                    </a:prstGeom>
                    <a:noFill/>
                  </pic:spPr>
                </pic:pic>
              </a:graphicData>
            </a:graphic>
          </wp:inline>
        </w:drawing>
      </w:r>
      <w:r w:rsidRPr="003A7E10">
        <w:rPr>
          <w:rFonts w:cs="Arial"/>
          <w:sz w:val="22"/>
          <w:szCs w:val="22"/>
        </w:rPr>
        <w:t xml:space="preserve">                                </w:t>
      </w:r>
      <w:r w:rsidRPr="003A7E10">
        <w:rPr>
          <w:rFonts w:cs="Arial"/>
          <w:sz w:val="22"/>
          <w:szCs w:val="22"/>
        </w:rPr>
        <w:tab/>
      </w:r>
      <w:r w:rsidRPr="003A7E10">
        <w:rPr>
          <w:rFonts w:cs="Arial"/>
          <w:sz w:val="22"/>
          <w:szCs w:val="22"/>
        </w:rPr>
        <w:tab/>
      </w:r>
      <w:r w:rsidRPr="003A7E10">
        <w:rPr>
          <w:rFonts w:cs="Arial"/>
          <w:sz w:val="22"/>
          <w:szCs w:val="22"/>
        </w:rPr>
        <w:t xml:space="preserve"> </w:t>
      </w:r>
    </w:p>
    <w:p w:rsidR="00A57829" w:rsidP="007F498A" w:rsidRDefault="002A58CF" w14:paraId="3AF10D4D" w14:textId="77777777">
      <w:pPr>
        <w:ind w:left="0"/>
        <w:rPr>
          <w:rFonts w:cs="Arial"/>
          <w:szCs w:val="22"/>
        </w:rPr>
      </w:pPr>
      <w:r>
        <w:rPr>
          <w:rFonts w:cs="Arial"/>
          <w:sz w:val="22"/>
          <w:szCs w:val="22"/>
        </w:rPr>
        <w:t xml:space="preserve">Brian Roe - </w:t>
      </w:r>
      <w:r w:rsidRPr="003A7E10" w:rsidR="001D7833">
        <w:rPr>
          <w:rFonts w:cs="Arial"/>
          <w:sz w:val="22"/>
          <w:szCs w:val="22"/>
        </w:rPr>
        <w:t xml:space="preserve">Managing Director - Roe Environmental Ltd   </w:t>
      </w:r>
      <w:r w:rsidRPr="003A7E10" w:rsidR="001D7833">
        <w:rPr>
          <w:rFonts w:cs="Arial"/>
          <w:szCs w:val="22"/>
        </w:rPr>
        <w:t xml:space="preserve">   </w:t>
      </w:r>
    </w:p>
    <w:p w:rsidR="00A57829" w:rsidP="007F498A" w:rsidRDefault="00A57829" w14:paraId="75707F4F" w14:textId="77777777">
      <w:pPr>
        <w:ind w:left="0"/>
        <w:rPr>
          <w:rFonts w:cs="Arial"/>
          <w:szCs w:val="22"/>
        </w:rPr>
      </w:pPr>
    </w:p>
    <w:p w:rsidRPr="001D7833" w:rsidR="00CB4790" w:rsidP="3948CBF5" w:rsidRDefault="00A57829" w14:paraId="4723420B" w14:textId="373668B4">
      <w:pPr>
        <w:ind w:left="0"/>
        <w:rPr>
          <w:rFonts w:cs="Arial"/>
        </w:rPr>
      </w:pPr>
      <w:r w:rsidRPr="3948CBF5" w:rsidR="00A57829">
        <w:rPr>
          <w:rFonts w:cs="Arial"/>
        </w:rPr>
        <w:t xml:space="preserve">Dated: </w:t>
      </w:r>
      <w:r w:rsidRPr="3948CBF5" w:rsidR="002A58CF">
        <w:rPr>
          <w:rFonts w:cs="Arial"/>
        </w:rPr>
        <w:t>1</w:t>
      </w:r>
      <w:r w:rsidRPr="3948CBF5" w:rsidR="00E75631">
        <w:rPr>
          <w:rFonts w:cs="Arial"/>
        </w:rPr>
        <w:t>3</w:t>
      </w:r>
      <w:r w:rsidRPr="3948CBF5" w:rsidR="00E75631">
        <w:rPr>
          <w:rFonts w:cs="Arial"/>
          <w:vertAlign w:val="superscript"/>
        </w:rPr>
        <w:t>th</w:t>
      </w:r>
      <w:r w:rsidRPr="3948CBF5" w:rsidR="00E75631">
        <w:rPr>
          <w:rFonts w:cs="Arial"/>
        </w:rPr>
        <w:t xml:space="preserve"> April 2026 </w:t>
      </w:r>
    </w:p>
    <w:sectPr w:rsidRPr="001D7833" w:rsidR="00CB4790" w:rsidSect="007F498A">
      <w:headerReference w:type="default" r:id="rId10"/>
      <w:footerReference w:type="default" r:id="rId11"/>
      <w:pgSz w:w="11906" w:h="16838" w:orient="portrait"/>
      <w:pgMar w:top="1418" w:right="1418" w:bottom="1135" w:left="1418" w:header="426"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0F3F" w:rsidRDefault="00B60F3F" w14:paraId="776716C5" w14:textId="77777777">
      <w:r>
        <w:separator/>
      </w:r>
    </w:p>
  </w:endnote>
  <w:endnote w:type="continuationSeparator" w:id="0">
    <w:p w:rsidR="00B60F3F" w:rsidRDefault="00B60F3F" w14:paraId="0C7246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017"/>
      <w:gridCol w:w="3025"/>
      <w:gridCol w:w="3018"/>
    </w:tblGrid>
    <w:tr w:rsidRPr="00A153E3" w:rsidR="00A153E3" w:rsidTr="3948CBF5" w14:paraId="1FED7FBE" w14:textId="77777777">
      <w:trPr>
        <w:trHeight w:val="495"/>
      </w:trPr>
      <w:tc>
        <w:tcPr>
          <w:tcW w:w="3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153E3" w:rsidR="00A153E3" w:rsidP="00A153E3" w:rsidRDefault="00A153E3" w14:paraId="1B366488" w14:textId="23E06AF4">
          <w:pPr>
            <w:tabs>
              <w:tab w:val="center" w:pos="4513"/>
              <w:tab w:val="right" w:pos="9026"/>
            </w:tabs>
            <w:ind w:left="0"/>
            <w:jc w:val="center"/>
            <w:rPr>
              <w:rFonts w:cs="Arial"/>
              <w:sz w:val="22"/>
              <w:szCs w:val="22"/>
            </w:rPr>
          </w:pPr>
          <w:r w:rsidRPr="3948CBF5" w:rsidR="3948CBF5">
            <w:rPr>
              <w:rFonts w:cs="Arial"/>
              <w:sz w:val="22"/>
              <w:szCs w:val="22"/>
            </w:rPr>
            <w:t>Issue 0</w:t>
          </w:r>
          <w:r w:rsidRPr="3948CBF5" w:rsidR="3948CBF5">
            <w:rPr>
              <w:rFonts w:cs="Arial"/>
              <w:sz w:val="22"/>
              <w:szCs w:val="22"/>
            </w:rPr>
            <w:t xml:space="preserve">7 April </w:t>
          </w:r>
          <w:r w:rsidRPr="3948CBF5" w:rsidR="3948CBF5">
            <w:rPr>
              <w:rFonts w:cs="Arial"/>
              <w:sz w:val="22"/>
              <w:szCs w:val="22"/>
            </w:rPr>
            <w:t>202</w:t>
          </w:r>
          <w:r w:rsidRPr="3948CBF5" w:rsidR="3948CBF5">
            <w:rPr>
              <w:rFonts w:cs="Arial"/>
              <w:sz w:val="22"/>
              <w:szCs w:val="22"/>
            </w:rPr>
            <w:t>6</w:t>
          </w:r>
        </w:p>
      </w:tc>
      <w:tc>
        <w:tcPr>
          <w:tcW w:w="30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153E3" w:rsidR="00A153E3" w:rsidP="00A153E3" w:rsidRDefault="00A153E3" w14:paraId="10BB71A7" w14:textId="77777777">
          <w:pPr>
            <w:spacing w:line="259" w:lineRule="auto"/>
            <w:ind w:left="0"/>
            <w:jc w:val="center"/>
            <w:rPr>
              <w:rFonts w:cs="Arial"/>
              <w:sz w:val="22"/>
              <w:szCs w:val="22"/>
            </w:rPr>
          </w:pPr>
          <w:r w:rsidRPr="00A153E3">
            <w:rPr>
              <w:rFonts w:cs="Arial"/>
              <w:sz w:val="22"/>
              <w:szCs w:val="22"/>
            </w:rPr>
            <w:t xml:space="preserve">Page </w:t>
          </w:r>
          <w:r w:rsidRPr="00A153E3">
            <w:rPr>
              <w:rFonts w:cs="Arial"/>
              <w:sz w:val="22"/>
              <w:szCs w:val="22"/>
            </w:rPr>
            <w:fldChar w:fldCharType="begin"/>
          </w:r>
          <w:r w:rsidRPr="00A153E3">
            <w:rPr>
              <w:rFonts w:cs="Arial"/>
              <w:sz w:val="22"/>
              <w:szCs w:val="22"/>
            </w:rPr>
            <w:instrText xml:space="preserve"> PAGE </w:instrText>
          </w:r>
          <w:r w:rsidRPr="00A153E3">
            <w:rPr>
              <w:rFonts w:cs="Arial"/>
              <w:sz w:val="22"/>
              <w:szCs w:val="22"/>
            </w:rPr>
            <w:fldChar w:fldCharType="separate"/>
          </w:r>
          <w:r w:rsidRPr="00A153E3">
            <w:rPr>
              <w:rFonts w:cs="Arial"/>
              <w:noProof/>
              <w:sz w:val="22"/>
              <w:szCs w:val="22"/>
            </w:rPr>
            <w:t>3</w:t>
          </w:r>
          <w:r w:rsidRPr="00A153E3">
            <w:rPr>
              <w:rFonts w:cs="Arial"/>
              <w:sz w:val="22"/>
              <w:szCs w:val="22"/>
            </w:rPr>
            <w:fldChar w:fldCharType="end"/>
          </w:r>
          <w:r w:rsidRPr="00A153E3">
            <w:rPr>
              <w:rFonts w:cs="Arial"/>
              <w:sz w:val="22"/>
              <w:szCs w:val="22"/>
            </w:rPr>
            <w:t xml:space="preserve"> of </w:t>
          </w:r>
          <w:r w:rsidRPr="00A153E3">
            <w:rPr>
              <w:rFonts w:cs="Arial"/>
              <w:sz w:val="22"/>
              <w:szCs w:val="22"/>
            </w:rPr>
            <w:fldChar w:fldCharType="begin"/>
          </w:r>
          <w:r w:rsidRPr="00A153E3">
            <w:rPr>
              <w:rFonts w:cs="Arial"/>
              <w:sz w:val="22"/>
              <w:szCs w:val="22"/>
            </w:rPr>
            <w:instrText xml:space="preserve"> NUMPAGES  </w:instrText>
          </w:r>
          <w:r w:rsidRPr="00A153E3">
            <w:rPr>
              <w:rFonts w:cs="Arial"/>
              <w:sz w:val="22"/>
              <w:szCs w:val="22"/>
            </w:rPr>
            <w:fldChar w:fldCharType="separate"/>
          </w:r>
          <w:r w:rsidRPr="00A153E3">
            <w:rPr>
              <w:rFonts w:cs="Arial"/>
              <w:noProof/>
              <w:sz w:val="22"/>
              <w:szCs w:val="22"/>
            </w:rPr>
            <w:t>5</w:t>
          </w:r>
          <w:r w:rsidRPr="00A153E3">
            <w:rPr>
              <w:rFonts w:cs="Arial"/>
              <w:noProof/>
              <w:sz w:val="22"/>
              <w:szCs w:val="22"/>
            </w:rPr>
            <w:fldChar w:fldCharType="end"/>
          </w:r>
        </w:p>
        <w:p w:rsidRPr="00A153E3" w:rsidR="00A153E3" w:rsidP="00A153E3" w:rsidRDefault="00A153E3" w14:paraId="0203C8A5" w14:textId="77777777">
          <w:pPr>
            <w:spacing w:line="259" w:lineRule="auto"/>
            <w:ind w:left="0"/>
            <w:jc w:val="center"/>
            <w:rPr>
              <w:rFonts w:cs="Arial"/>
              <w:sz w:val="22"/>
              <w:szCs w:val="22"/>
            </w:rPr>
          </w:pPr>
          <w:r w:rsidRPr="00A153E3">
            <w:rPr>
              <w:rFonts w:cs="Arial"/>
              <w:sz w:val="22"/>
              <w:szCs w:val="22"/>
              <w:lang w:val="en-US"/>
            </w:rPr>
            <w:t>Uncontrolled When Printed</w:t>
          </w:r>
        </w:p>
      </w:tc>
      <w:tc>
        <w:tcPr>
          <w:tcW w:w="30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153E3" w:rsidR="00A153E3" w:rsidP="00A153E3" w:rsidRDefault="00A153E3" w14:paraId="66352586" w14:textId="28918D12">
          <w:pPr>
            <w:tabs>
              <w:tab w:val="center" w:pos="4513"/>
              <w:tab w:val="right" w:pos="9026"/>
            </w:tabs>
            <w:ind w:left="0"/>
            <w:jc w:val="center"/>
            <w:rPr>
              <w:rFonts w:cs="Arial"/>
              <w:sz w:val="22"/>
              <w:szCs w:val="22"/>
            </w:rPr>
          </w:pPr>
          <w:r w:rsidRPr="00A153E3">
            <w:rPr>
              <w:rFonts w:cs="Arial"/>
              <w:sz w:val="22"/>
              <w:szCs w:val="22"/>
            </w:rPr>
            <w:t>ROE-</w:t>
          </w:r>
          <w:r w:rsidR="00166389">
            <w:rPr>
              <w:rFonts w:cs="Arial"/>
              <w:sz w:val="22"/>
              <w:szCs w:val="22"/>
            </w:rPr>
            <w:t>E</w:t>
          </w:r>
          <w:r w:rsidR="00CF4B9C">
            <w:rPr>
              <w:rFonts w:cs="Arial"/>
              <w:sz w:val="22"/>
              <w:szCs w:val="22"/>
            </w:rPr>
            <w:t>NV</w:t>
          </w:r>
          <w:r w:rsidR="00695057">
            <w:rPr>
              <w:rFonts w:cs="Arial"/>
              <w:sz w:val="22"/>
              <w:szCs w:val="22"/>
            </w:rPr>
            <w:t>-P-001</w:t>
          </w:r>
        </w:p>
      </w:tc>
    </w:tr>
  </w:tbl>
  <w:p w:rsidRPr="002B3764" w:rsidR="005D25B4" w:rsidP="002B3764" w:rsidRDefault="005D25B4" w14:paraId="719E11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0F3F" w:rsidRDefault="00B60F3F" w14:paraId="1A9ECCFB" w14:textId="77777777">
      <w:r>
        <w:separator/>
      </w:r>
    </w:p>
  </w:footnote>
  <w:footnote w:type="continuationSeparator" w:id="0">
    <w:p w:rsidR="00B60F3F" w:rsidRDefault="00B60F3F" w14:paraId="4CB114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907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82"/>
      <w:gridCol w:w="4820"/>
      <w:gridCol w:w="1874"/>
    </w:tblGrid>
    <w:tr w:rsidRPr="00135BB3" w:rsidR="00135BB3" w:rsidTr="00DE28B4" w14:paraId="7C53DA3C" w14:textId="77777777">
      <w:trPr>
        <w:cantSplit/>
        <w:trHeight w:val="948"/>
      </w:trPr>
      <w:tc>
        <w:tcPr>
          <w:tcW w:w="2382" w:type="dxa"/>
          <w:vMerge w:val="restart"/>
          <w:shd w:val="clear" w:color="auto" w:fill="auto"/>
          <w:vAlign w:val="center"/>
        </w:tcPr>
        <w:p w:rsidRPr="00135BB3" w:rsidR="00135BB3" w:rsidP="00135BB3" w:rsidRDefault="00135BB3" w14:paraId="18444A5B" w14:textId="77777777">
          <w:pPr>
            <w:tabs>
              <w:tab w:val="center" w:pos="4153"/>
              <w:tab w:val="right" w:pos="8306"/>
            </w:tabs>
            <w:spacing w:line="259" w:lineRule="auto"/>
            <w:ind w:left="0"/>
            <w:jc w:val="center"/>
            <w:rPr>
              <w:rFonts w:ascii="Times New Roman" w:hAnsi="Times New Roman"/>
              <w:b/>
              <w:sz w:val="28"/>
              <w:szCs w:val="22"/>
              <w:lang w:eastAsia="en-GB"/>
            </w:rPr>
          </w:pPr>
          <w:bookmarkStart w:name="_Hlk43471393" w:id="0"/>
          <w:r w:rsidRPr="00135BB3">
            <w:rPr>
              <w:rFonts w:ascii="Times New Roman" w:hAnsi="Times New Roman"/>
              <w:b/>
              <w:noProof/>
              <w:sz w:val="28"/>
              <w:szCs w:val="22"/>
              <w:lang w:eastAsia="en-GB"/>
            </w:rPr>
            <w:drawing>
              <wp:inline distT="0" distB="0" distL="0" distR="0" wp14:anchorId="16898111" wp14:editId="3429165C">
                <wp:extent cx="1123950" cy="8096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809625"/>
                        </a:xfrm>
                        <a:prstGeom prst="rect">
                          <a:avLst/>
                        </a:prstGeom>
                        <a:noFill/>
                      </pic:spPr>
                    </pic:pic>
                  </a:graphicData>
                </a:graphic>
              </wp:inline>
            </w:drawing>
          </w:r>
        </w:p>
      </w:tc>
      <w:tc>
        <w:tcPr>
          <w:tcW w:w="4820" w:type="dxa"/>
          <w:shd w:val="clear" w:color="auto" w:fill="auto"/>
          <w:vAlign w:val="center"/>
        </w:tcPr>
        <w:p w:rsidRPr="00135BB3" w:rsidR="00135BB3" w:rsidP="00135BB3" w:rsidRDefault="00166389" w14:paraId="0B6049D1" w14:textId="7E4F2154">
          <w:pPr>
            <w:tabs>
              <w:tab w:val="center" w:pos="4153"/>
              <w:tab w:val="right" w:pos="8306"/>
            </w:tabs>
            <w:spacing w:line="259" w:lineRule="auto"/>
            <w:ind w:left="0"/>
            <w:jc w:val="center"/>
            <w:rPr>
              <w:rFonts w:cs="Arial"/>
              <w:b/>
              <w:sz w:val="22"/>
              <w:szCs w:val="22"/>
              <w:lang w:eastAsia="en-GB"/>
            </w:rPr>
          </w:pPr>
          <w:r>
            <w:rPr>
              <w:rFonts w:cs="Arial"/>
              <w:b/>
              <w:sz w:val="22"/>
              <w:szCs w:val="24"/>
            </w:rPr>
            <w:t>E</w:t>
          </w:r>
          <w:r w:rsidR="00CF4B9C">
            <w:rPr>
              <w:rFonts w:cs="Arial"/>
              <w:b/>
              <w:sz w:val="22"/>
              <w:szCs w:val="24"/>
            </w:rPr>
            <w:t xml:space="preserve">nvironmental </w:t>
          </w:r>
          <w:r w:rsidRPr="00D068E9" w:rsidR="00D068E9">
            <w:rPr>
              <w:rFonts w:cs="Arial"/>
              <w:b/>
              <w:sz w:val="22"/>
              <w:szCs w:val="24"/>
            </w:rPr>
            <w:t>Policy</w:t>
          </w:r>
        </w:p>
      </w:tc>
      <w:tc>
        <w:tcPr>
          <w:tcW w:w="1874" w:type="dxa"/>
          <w:vMerge w:val="restart"/>
          <w:shd w:val="clear" w:color="auto" w:fill="auto"/>
          <w:vAlign w:val="center"/>
        </w:tcPr>
        <w:p w:rsidRPr="00135BB3" w:rsidR="00135BB3" w:rsidP="00135BB3" w:rsidRDefault="00135BB3" w14:paraId="07FC7CFE" w14:textId="77777777">
          <w:pPr>
            <w:tabs>
              <w:tab w:val="center" w:pos="4153"/>
              <w:tab w:val="right" w:pos="8306"/>
            </w:tabs>
            <w:spacing w:line="259" w:lineRule="auto"/>
            <w:ind w:left="0"/>
            <w:jc w:val="center"/>
            <w:rPr>
              <w:rFonts w:cs="Arial"/>
              <w:b/>
              <w:sz w:val="22"/>
              <w:szCs w:val="22"/>
              <w:lang w:eastAsia="en-GB"/>
            </w:rPr>
          </w:pPr>
          <w:r w:rsidRPr="00135BB3">
            <w:rPr>
              <w:rFonts w:cs="Arial"/>
              <w:b/>
              <w:noProof/>
              <w:sz w:val="22"/>
              <w:szCs w:val="22"/>
              <w:lang w:eastAsia="en-GB"/>
            </w:rPr>
            <w:drawing>
              <wp:inline distT="0" distB="0" distL="0" distR="0" wp14:anchorId="274B8F34" wp14:editId="18C1982F">
                <wp:extent cx="1122045" cy="810895"/>
                <wp:effectExtent l="0" t="0" r="190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045" cy="810895"/>
                        </a:xfrm>
                        <a:prstGeom prst="rect">
                          <a:avLst/>
                        </a:prstGeom>
                        <a:noFill/>
                      </pic:spPr>
                    </pic:pic>
                  </a:graphicData>
                </a:graphic>
              </wp:inline>
            </w:drawing>
          </w:r>
        </w:p>
      </w:tc>
    </w:tr>
    <w:tr w:rsidRPr="00135BB3" w:rsidR="00135BB3" w:rsidTr="00DE28B4" w14:paraId="2DD9C5E4" w14:textId="77777777">
      <w:trPr>
        <w:cantSplit/>
        <w:trHeight w:val="357"/>
      </w:trPr>
      <w:tc>
        <w:tcPr>
          <w:tcW w:w="2382" w:type="dxa"/>
          <w:vMerge/>
          <w:shd w:val="clear" w:color="auto" w:fill="auto"/>
          <w:vAlign w:val="center"/>
        </w:tcPr>
        <w:p w:rsidRPr="00135BB3" w:rsidR="00135BB3" w:rsidP="00135BB3" w:rsidRDefault="00135BB3" w14:paraId="37E83851" w14:textId="77777777">
          <w:pPr>
            <w:tabs>
              <w:tab w:val="center" w:pos="4153"/>
              <w:tab w:val="right" w:pos="8306"/>
            </w:tabs>
            <w:spacing w:line="259" w:lineRule="auto"/>
            <w:ind w:left="0"/>
            <w:jc w:val="center"/>
            <w:rPr>
              <w:rFonts w:ascii="Times New Roman" w:hAnsi="Times New Roman"/>
              <w:b/>
              <w:noProof/>
              <w:sz w:val="28"/>
              <w:szCs w:val="22"/>
              <w:lang w:eastAsia="en-GB"/>
            </w:rPr>
          </w:pPr>
        </w:p>
      </w:tc>
      <w:tc>
        <w:tcPr>
          <w:tcW w:w="4820" w:type="dxa"/>
          <w:shd w:val="clear" w:color="auto" w:fill="auto"/>
          <w:vAlign w:val="center"/>
        </w:tcPr>
        <w:p w:rsidRPr="00135BB3" w:rsidR="00135BB3" w:rsidP="00135BB3" w:rsidRDefault="00135BB3" w14:paraId="62C55377" w14:textId="3E095084">
          <w:pPr>
            <w:tabs>
              <w:tab w:val="center" w:pos="4153"/>
              <w:tab w:val="right" w:pos="8306"/>
            </w:tabs>
            <w:spacing w:line="259" w:lineRule="auto"/>
            <w:ind w:left="0"/>
            <w:jc w:val="center"/>
            <w:rPr>
              <w:rFonts w:cs="Arial"/>
              <w:b/>
              <w:sz w:val="22"/>
              <w:szCs w:val="24"/>
            </w:rPr>
          </w:pPr>
          <w:r w:rsidRPr="00135BB3">
            <w:rPr>
              <w:rFonts w:cs="Arial"/>
              <w:b/>
              <w:sz w:val="22"/>
              <w:szCs w:val="24"/>
            </w:rPr>
            <w:t>ROE-</w:t>
          </w:r>
          <w:r w:rsidR="00166389">
            <w:rPr>
              <w:rFonts w:cs="Arial"/>
              <w:b/>
              <w:sz w:val="22"/>
              <w:szCs w:val="24"/>
            </w:rPr>
            <w:t>E</w:t>
          </w:r>
          <w:r w:rsidR="00CF4B9C">
            <w:rPr>
              <w:rFonts w:cs="Arial"/>
              <w:b/>
              <w:sz w:val="22"/>
              <w:szCs w:val="24"/>
            </w:rPr>
            <w:t>NV</w:t>
          </w:r>
          <w:r w:rsidR="008A0E90">
            <w:rPr>
              <w:rFonts w:cs="Arial"/>
              <w:b/>
              <w:sz w:val="22"/>
              <w:szCs w:val="24"/>
            </w:rPr>
            <w:t>-P-001</w:t>
          </w:r>
        </w:p>
      </w:tc>
      <w:tc>
        <w:tcPr>
          <w:tcW w:w="1874" w:type="dxa"/>
          <w:vMerge/>
          <w:shd w:val="clear" w:color="auto" w:fill="auto"/>
          <w:vAlign w:val="center"/>
        </w:tcPr>
        <w:p w:rsidRPr="00135BB3" w:rsidR="00135BB3" w:rsidP="00135BB3" w:rsidRDefault="00135BB3" w14:paraId="471FE67B" w14:textId="77777777">
          <w:pPr>
            <w:tabs>
              <w:tab w:val="center" w:pos="4153"/>
              <w:tab w:val="right" w:pos="8306"/>
            </w:tabs>
            <w:spacing w:line="259" w:lineRule="auto"/>
            <w:ind w:left="0"/>
            <w:jc w:val="center"/>
            <w:rPr>
              <w:rFonts w:cs="Arial"/>
              <w:b/>
              <w:sz w:val="22"/>
              <w:szCs w:val="22"/>
            </w:rPr>
          </w:pPr>
        </w:p>
      </w:tc>
    </w:tr>
  </w:tbl>
  <w:bookmarkEnd w:id="0"/>
  <w:p w:rsidR="005D25B4" w:rsidP="00135BB3" w:rsidRDefault="00135BB3" w14:paraId="2F83D60E" w14:textId="48260231">
    <w:pPr>
      <w:pStyle w:val="Header"/>
      <w:tabs>
        <w:tab w:val="clear" w:pos="4153"/>
        <w:tab w:val="clear" w:pos="8306"/>
        <w:tab w:val="left" w:pos="2847"/>
      </w:tabs>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31C98"/>
    <w:multiLevelType w:val="singleLevel"/>
    <w:tmpl w:val="CE8C5BBA"/>
    <w:lvl w:ilvl="0">
      <w:start w:val="1"/>
      <w:numFmt w:val="bullet"/>
      <w:pStyle w:val="Heading4"/>
      <w:lvlText w:val=""/>
      <w:lvlJc w:val="left"/>
      <w:pPr>
        <w:tabs>
          <w:tab w:val="num" w:pos="1134"/>
        </w:tabs>
        <w:ind w:left="1134" w:hanging="414"/>
      </w:pPr>
      <w:rPr>
        <w:rFonts w:hint="default" w:ascii="Symbol" w:hAnsi="Symbol"/>
      </w:rPr>
    </w:lvl>
  </w:abstractNum>
  <w:abstractNum w:abstractNumId="1" w15:restartNumberingAfterBreak="0">
    <w:nsid w:val="5C1447DA"/>
    <w:multiLevelType w:val="hybridMultilevel"/>
    <w:tmpl w:val="A84CFA3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1816623"/>
    <w:multiLevelType w:val="hybridMultilevel"/>
    <w:tmpl w:val="1382C6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A977DB5"/>
    <w:multiLevelType w:val="multilevel"/>
    <w:tmpl w:val="FA94B016"/>
    <w:lvl w:ilvl="0">
      <w:start w:val="1"/>
      <w:numFmt w:val="decimal"/>
      <w:pStyle w:val="Heading1"/>
      <w:lvlText w:val="%1"/>
      <w:lvlJc w:val="left"/>
      <w:pPr>
        <w:tabs>
          <w:tab w:val="num" w:pos="432"/>
        </w:tabs>
        <w:ind w:left="432" w:hanging="432"/>
      </w:pPr>
      <w:rPr>
        <w:rFonts w:hint="default" w:ascii="Arial" w:hAnsi="Arial"/>
        <w:sz w:val="20"/>
      </w:rPr>
    </w:lvl>
    <w:lvl w:ilvl="1">
      <w:start w:val="1"/>
      <w:numFmt w:val="decimal"/>
      <w:pStyle w:val="Heading2"/>
      <w:lvlText w:val="%1.%2"/>
      <w:lvlJc w:val="left"/>
      <w:pPr>
        <w:tabs>
          <w:tab w:val="num" w:pos="432"/>
        </w:tabs>
        <w:ind w:left="432" w:hanging="432"/>
      </w:pPr>
      <w:rPr>
        <w:rFonts w:hint="default" w:ascii="Arial" w:hAnsi="Arial"/>
        <w:sz w:val="20"/>
      </w:rPr>
    </w:lvl>
    <w:lvl w:ilvl="2">
      <w:start w:val="1"/>
      <w:numFmt w:val="decimal"/>
      <w:pStyle w:val="Heading3"/>
      <w:lvlText w:val="%1.%2.%3"/>
      <w:lvlJc w:val="left"/>
      <w:pPr>
        <w:tabs>
          <w:tab w:val="num" w:pos="720"/>
        </w:tabs>
        <w:ind w:left="432" w:hanging="432"/>
      </w:pPr>
      <w:rPr>
        <w:rFonts w:hint="default" w:ascii="Arial" w:hAnsi="Arial"/>
        <w:sz w:val="20"/>
      </w:r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val="bestFit" w:percent="192"/>
  <w:activeWritingStyle w:lang="en-GB" w:vendorID="8" w:dllVersion="513" w:checkStyle="1" w:appName="MSWord"/>
  <w:proofState w:spelling="clean" w:grammar="dirty"/>
  <w:trackRevisions w:val="false"/>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64"/>
    <w:rsid w:val="00001A9B"/>
    <w:rsid w:val="0001488A"/>
    <w:rsid w:val="00017BB9"/>
    <w:rsid w:val="00054FA5"/>
    <w:rsid w:val="00064FD8"/>
    <w:rsid w:val="00072A44"/>
    <w:rsid w:val="00076E3C"/>
    <w:rsid w:val="000A768F"/>
    <w:rsid w:val="000B4678"/>
    <w:rsid w:val="000B5B58"/>
    <w:rsid w:val="000B6851"/>
    <w:rsid w:val="000C3EA4"/>
    <w:rsid w:val="000E79DE"/>
    <w:rsid w:val="000F2FC5"/>
    <w:rsid w:val="000F460F"/>
    <w:rsid w:val="00116E5D"/>
    <w:rsid w:val="001200D7"/>
    <w:rsid w:val="00120F08"/>
    <w:rsid w:val="00131CED"/>
    <w:rsid w:val="0013528D"/>
    <w:rsid w:val="00135BB3"/>
    <w:rsid w:val="00151571"/>
    <w:rsid w:val="00166389"/>
    <w:rsid w:val="0018401E"/>
    <w:rsid w:val="00194F10"/>
    <w:rsid w:val="001B336C"/>
    <w:rsid w:val="001B52C6"/>
    <w:rsid w:val="001D5728"/>
    <w:rsid w:val="001D7833"/>
    <w:rsid w:val="002031C3"/>
    <w:rsid w:val="00205C4D"/>
    <w:rsid w:val="00206E73"/>
    <w:rsid w:val="00224292"/>
    <w:rsid w:val="002277AC"/>
    <w:rsid w:val="00231174"/>
    <w:rsid w:val="002449F0"/>
    <w:rsid w:val="00255CC0"/>
    <w:rsid w:val="00282583"/>
    <w:rsid w:val="00297865"/>
    <w:rsid w:val="00297CAF"/>
    <w:rsid w:val="002A4410"/>
    <w:rsid w:val="002A58CF"/>
    <w:rsid w:val="002B3764"/>
    <w:rsid w:val="002C7EC0"/>
    <w:rsid w:val="002D7ABE"/>
    <w:rsid w:val="002E71CC"/>
    <w:rsid w:val="002F38DA"/>
    <w:rsid w:val="00301341"/>
    <w:rsid w:val="00311E3D"/>
    <w:rsid w:val="00315605"/>
    <w:rsid w:val="003230C4"/>
    <w:rsid w:val="00330008"/>
    <w:rsid w:val="00340991"/>
    <w:rsid w:val="003612C2"/>
    <w:rsid w:val="00364F5C"/>
    <w:rsid w:val="00365227"/>
    <w:rsid w:val="0037541D"/>
    <w:rsid w:val="00383C89"/>
    <w:rsid w:val="00392837"/>
    <w:rsid w:val="003972D4"/>
    <w:rsid w:val="003A1567"/>
    <w:rsid w:val="003A7E10"/>
    <w:rsid w:val="003D3EE8"/>
    <w:rsid w:val="003F32B9"/>
    <w:rsid w:val="0040099C"/>
    <w:rsid w:val="004032D0"/>
    <w:rsid w:val="004202B5"/>
    <w:rsid w:val="00421C03"/>
    <w:rsid w:val="00445D46"/>
    <w:rsid w:val="004978FF"/>
    <w:rsid w:val="004A5C97"/>
    <w:rsid w:val="004B276A"/>
    <w:rsid w:val="004C1138"/>
    <w:rsid w:val="004D07CC"/>
    <w:rsid w:val="004D1FC6"/>
    <w:rsid w:val="004D3397"/>
    <w:rsid w:val="004D59E8"/>
    <w:rsid w:val="004E1530"/>
    <w:rsid w:val="004F1887"/>
    <w:rsid w:val="004F1E37"/>
    <w:rsid w:val="004F32ED"/>
    <w:rsid w:val="004F4272"/>
    <w:rsid w:val="004F7549"/>
    <w:rsid w:val="00522951"/>
    <w:rsid w:val="005415D7"/>
    <w:rsid w:val="00564450"/>
    <w:rsid w:val="0057579A"/>
    <w:rsid w:val="005858CA"/>
    <w:rsid w:val="005A460D"/>
    <w:rsid w:val="005A4963"/>
    <w:rsid w:val="005A589C"/>
    <w:rsid w:val="005A5BFB"/>
    <w:rsid w:val="005A62AA"/>
    <w:rsid w:val="005A7E48"/>
    <w:rsid w:val="005B1D95"/>
    <w:rsid w:val="005B7A23"/>
    <w:rsid w:val="005C12F9"/>
    <w:rsid w:val="005C5042"/>
    <w:rsid w:val="005C68A2"/>
    <w:rsid w:val="005D1C12"/>
    <w:rsid w:val="005D25B4"/>
    <w:rsid w:val="005E0F12"/>
    <w:rsid w:val="0060477D"/>
    <w:rsid w:val="00607D7D"/>
    <w:rsid w:val="0063275E"/>
    <w:rsid w:val="00635F80"/>
    <w:rsid w:val="006475BA"/>
    <w:rsid w:val="00693209"/>
    <w:rsid w:val="00695057"/>
    <w:rsid w:val="006A2B2B"/>
    <w:rsid w:val="006B0696"/>
    <w:rsid w:val="006C28B1"/>
    <w:rsid w:val="006E1BED"/>
    <w:rsid w:val="006F3189"/>
    <w:rsid w:val="006F7CC6"/>
    <w:rsid w:val="007141E0"/>
    <w:rsid w:val="007322D9"/>
    <w:rsid w:val="00734264"/>
    <w:rsid w:val="00755272"/>
    <w:rsid w:val="00766703"/>
    <w:rsid w:val="0077227E"/>
    <w:rsid w:val="007B0F49"/>
    <w:rsid w:val="007C0CD8"/>
    <w:rsid w:val="007D14DA"/>
    <w:rsid w:val="007D2D24"/>
    <w:rsid w:val="007E1A48"/>
    <w:rsid w:val="007F2AF5"/>
    <w:rsid w:val="007F498A"/>
    <w:rsid w:val="00802049"/>
    <w:rsid w:val="0081463A"/>
    <w:rsid w:val="00816406"/>
    <w:rsid w:val="0082140C"/>
    <w:rsid w:val="008279A1"/>
    <w:rsid w:val="00830299"/>
    <w:rsid w:val="00835907"/>
    <w:rsid w:val="008414B0"/>
    <w:rsid w:val="00847E23"/>
    <w:rsid w:val="008667F0"/>
    <w:rsid w:val="00866809"/>
    <w:rsid w:val="00890338"/>
    <w:rsid w:val="0089654B"/>
    <w:rsid w:val="008A08E0"/>
    <w:rsid w:val="008A0E90"/>
    <w:rsid w:val="008A1432"/>
    <w:rsid w:val="008B6CF4"/>
    <w:rsid w:val="008C14F8"/>
    <w:rsid w:val="008C6D48"/>
    <w:rsid w:val="008D056A"/>
    <w:rsid w:val="008E478A"/>
    <w:rsid w:val="008E5047"/>
    <w:rsid w:val="0090194D"/>
    <w:rsid w:val="00905771"/>
    <w:rsid w:val="00906F52"/>
    <w:rsid w:val="009203CE"/>
    <w:rsid w:val="00972572"/>
    <w:rsid w:val="0097571C"/>
    <w:rsid w:val="00984F29"/>
    <w:rsid w:val="009874E7"/>
    <w:rsid w:val="009934E0"/>
    <w:rsid w:val="009B7F83"/>
    <w:rsid w:val="009C421E"/>
    <w:rsid w:val="009E1ED0"/>
    <w:rsid w:val="009E36B0"/>
    <w:rsid w:val="009E6D69"/>
    <w:rsid w:val="009E7850"/>
    <w:rsid w:val="009F27D7"/>
    <w:rsid w:val="009F36FF"/>
    <w:rsid w:val="009F66B9"/>
    <w:rsid w:val="00A057C6"/>
    <w:rsid w:val="00A05BEA"/>
    <w:rsid w:val="00A108E9"/>
    <w:rsid w:val="00A125ED"/>
    <w:rsid w:val="00A153E3"/>
    <w:rsid w:val="00A27D17"/>
    <w:rsid w:val="00A433CF"/>
    <w:rsid w:val="00A56005"/>
    <w:rsid w:val="00A57829"/>
    <w:rsid w:val="00A579AC"/>
    <w:rsid w:val="00A66858"/>
    <w:rsid w:val="00A722CB"/>
    <w:rsid w:val="00A767D6"/>
    <w:rsid w:val="00A84647"/>
    <w:rsid w:val="00AA0FA8"/>
    <w:rsid w:val="00AC5A43"/>
    <w:rsid w:val="00AD1FEF"/>
    <w:rsid w:val="00AF2EE6"/>
    <w:rsid w:val="00AF489D"/>
    <w:rsid w:val="00B0756B"/>
    <w:rsid w:val="00B52C31"/>
    <w:rsid w:val="00B54746"/>
    <w:rsid w:val="00B60F3F"/>
    <w:rsid w:val="00B61385"/>
    <w:rsid w:val="00B65C8D"/>
    <w:rsid w:val="00B66674"/>
    <w:rsid w:val="00B76092"/>
    <w:rsid w:val="00BC1891"/>
    <w:rsid w:val="00BD665E"/>
    <w:rsid w:val="00BE05AE"/>
    <w:rsid w:val="00BE340A"/>
    <w:rsid w:val="00C00F57"/>
    <w:rsid w:val="00C06F16"/>
    <w:rsid w:val="00C143C0"/>
    <w:rsid w:val="00C16708"/>
    <w:rsid w:val="00C33A20"/>
    <w:rsid w:val="00C44BED"/>
    <w:rsid w:val="00C53B3C"/>
    <w:rsid w:val="00C61CEC"/>
    <w:rsid w:val="00C72C85"/>
    <w:rsid w:val="00C72F57"/>
    <w:rsid w:val="00C8015F"/>
    <w:rsid w:val="00C85C30"/>
    <w:rsid w:val="00CB02BD"/>
    <w:rsid w:val="00CB1545"/>
    <w:rsid w:val="00CB4790"/>
    <w:rsid w:val="00CC2103"/>
    <w:rsid w:val="00CC2505"/>
    <w:rsid w:val="00CC42D7"/>
    <w:rsid w:val="00CC7CD4"/>
    <w:rsid w:val="00CD251A"/>
    <w:rsid w:val="00CE26C2"/>
    <w:rsid w:val="00CF19AD"/>
    <w:rsid w:val="00CF4B9C"/>
    <w:rsid w:val="00CF65B8"/>
    <w:rsid w:val="00CF7EB1"/>
    <w:rsid w:val="00D068E9"/>
    <w:rsid w:val="00D1215A"/>
    <w:rsid w:val="00D43295"/>
    <w:rsid w:val="00D509E2"/>
    <w:rsid w:val="00D728C0"/>
    <w:rsid w:val="00D77447"/>
    <w:rsid w:val="00D80F05"/>
    <w:rsid w:val="00D836D1"/>
    <w:rsid w:val="00D84BD5"/>
    <w:rsid w:val="00DA1C5B"/>
    <w:rsid w:val="00DB571E"/>
    <w:rsid w:val="00DC49FD"/>
    <w:rsid w:val="00DD2413"/>
    <w:rsid w:val="00DD4BF2"/>
    <w:rsid w:val="00DF02AD"/>
    <w:rsid w:val="00E0225C"/>
    <w:rsid w:val="00E14BE7"/>
    <w:rsid w:val="00E25A13"/>
    <w:rsid w:val="00E318EB"/>
    <w:rsid w:val="00E336F0"/>
    <w:rsid w:val="00E37066"/>
    <w:rsid w:val="00E709D6"/>
    <w:rsid w:val="00E75631"/>
    <w:rsid w:val="00EC3805"/>
    <w:rsid w:val="00ED530B"/>
    <w:rsid w:val="00F12E9B"/>
    <w:rsid w:val="00F34324"/>
    <w:rsid w:val="00F3514A"/>
    <w:rsid w:val="00F73A81"/>
    <w:rsid w:val="00F9430B"/>
    <w:rsid w:val="00FA3764"/>
    <w:rsid w:val="00FB1BAD"/>
    <w:rsid w:val="00FB4738"/>
    <w:rsid w:val="00FC0F63"/>
    <w:rsid w:val="00FC1008"/>
    <w:rsid w:val="00FD34FA"/>
    <w:rsid w:val="00FE5B34"/>
    <w:rsid w:val="00FF5AA0"/>
    <w:rsid w:val="3948CBF5"/>
    <w:rsid w:val="5F404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25CDF3"/>
  <w15:chartTrackingRefBased/>
  <w15:docId w15:val="{DD021ADF-1336-41A0-A471-D63C69AE49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ind w:left="720"/>
    </w:pPr>
    <w:rPr>
      <w:rFonts w:ascii="Arial" w:hAnsi="Arial"/>
      <w:lang w:eastAsia="en-US"/>
    </w:rPr>
  </w:style>
  <w:style w:type="paragraph" w:styleId="Heading1">
    <w:name w:val="heading 1"/>
    <w:basedOn w:val="Normal"/>
    <w:next w:val="Normal"/>
    <w:qFormat/>
    <w:pPr>
      <w:keepNext/>
      <w:numPr>
        <w:numId w:val="1"/>
      </w:numPr>
      <w:tabs>
        <w:tab w:val="clear" w:pos="432"/>
      </w:tabs>
      <w:ind w:left="720" w:hanging="720"/>
      <w:outlineLvl w:val="0"/>
    </w:pPr>
    <w:rPr>
      <w:b/>
      <w:caps/>
    </w:rPr>
  </w:style>
  <w:style w:type="paragraph" w:styleId="Heading2">
    <w:name w:val="heading 2"/>
    <w:basedOn w:val="Normal"/>
    <w:next w:val="Normal"/>
    <w:qFormat/>
    <w:pPr>
      <w:keepNext/>
      <w:numPr>
        <w:ilvl w:val="1"/>
        <w:numId w:val="1"/>
      </w:numPr>
      <w:tabs>
        <w:tab w:val="clear" w:pos="432"/>
      </w:tabs>
      <w:ind w:left="720" w:hanging="720"/>
      <w:outlineLvl w:val="1"/>
    </w:pPr>
    <w:rPr>
      <w:b/>
    </w:rPr>
  </w:style>
  <w:style w:type="paragraph" w:styleId="Heading3">
    <w:name w:val="heading 3"/>
    <w:basedOn w:val="Normal"/>
    <w:next w:val="Normal"/>
    <w:qFormat/>
    <w:pPr>
      <w:keepNext/>
      <w:numPr>
        <w:ilvl w:val="2"/>
        <w:numId w:val="1"/>
      </w:numPr>
      <w:tabs>
        <w:tab w:val="clear" w:pos="720"/>
      </w:tabs>
      <w:outlineLvl w:val="2"/>
    </w:pPr>
  </w:style>
  <w:style w:type="paragraph" w:styleId="Heading4">
    <w:name w:val="heading 4"/>
    <w:basedOn w:val="Normal"/>
    <w:next w:val="Normal"/>
    <w:qFormat/>
    <w:pPr>
      <w:keepNext/>
      <w:numPr>
        <w:numId w:val="2"/>
      </w:numPr>
      <w:outlineLvl w:val="3"/>
    </w:pPr>
  </w:style>
  <w:style w:type="paragraph" w:styleId="Heading5">
    <w:name w:val="heading 5"/>
    <w:basedOn w:val="Normal"/>
    <w:next w:val="Normal"/>
    <w:qFormat/>
    <w:pPr>
      <w:keepNext/>
      <w:numPr>
        <w:ilvl w:val="4"/>
        <w:numId w:val="1"/>
      </w:numPr>
      <w:outlineLvl w:val="4"/>
    </w:pPr>
    <w:rPr>
      <w:b/>
    </w:rPr>
  </w:style>
  <w:style w:type="paragraph" w:styleId="Heading6">
    <w:name w:val="heading 6"/>
    <w:basedOn w:val="Normal"/>
    <w:next w:val="Normal"/>
    <w:qFormat/>
    <w:pPr>
      <w:keepNext/>
      <w:numPr>
        <w:ilvl w:val="5"/>
        <w:numId w:val="1"/>
      </w:numPr>
      <w:tabs>
        <w:tab w:val="left" w:leader="hyphen" w:pos="3600"/>
        <w:tab w:val="left" w:leader="hyphen" w:pos="5760"/>
      </w:tabs>
      <w:jc w:val="center"/>
      <w:outlineLvl w:val="5"/>
    </w:pPr>
    <w:rPr>
      <w:b/>
    </w:rPr>
  </w:style>
  <w:style w:type="paragraph" w:styleId="Heading7">
    <w:name w:val="heading 7"/>
    <w:basedOn w:val="Normal"/>
    <w:next w:val="Normal"/>
    <w:qFormat/>
    <w:pPr>
      <w:keepNext/>
      <w:numPr>
        <w:ilvl w:val="6"/>
        <w:numId w:val="1"/>
      </w:numPr>
      <w:outlineLvl w:val="6"/>
    </w:pPr>
    <w:rPr>
      <w:b/>
    </w:r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snapToGrid w:val="0"/>
      <w:color w:val="000000"/>
    </w:rPr>
  </w:style>
  <w:style w:type="paragraph" w:styleId="BodyTextIndent">
    <w:name w:val="Body Text Indent"/>
    <w:basedOn w:val="Normal"/>
    <w:semiHidden/>
    <w:pPr>
      <w:ind w:left="709" w:firstLine="11"/>
    </w:pPr>
    <w:rPr>
      <w:snapToGrid w:val="0"/>
      <w:color w:val="000000"/>
    </w:rPr>
  </w:style>
  <w:style w:type="paragraph" w:styleId="BodyText2">
    <w:name w:val="Body Text 2"/>
    <w:basedOn w:val="Normal"/>
    <w:semiHidden/>
    <w:rPr>
      <w:b/>
    </w:rPr>
  </w:style>
  <w:style w:type="paragraph" w:styleId="BodyTextIndent2">
    <w:name w:val="Body Text Indent 2"/>
    <w:basedOn w:val="Normal"/>
    <w:semiHidden/>
    <w:pPr>
      <w:tabs>
        <w:tab w:val="left" w:pos="709"/>
        <w:tab w:val="left" w:pos="4680"/>
      </w:tabs>
      <w:ind w:left="709"/>
    </w:pPr>
  </w:style>
  <w:style w:type="paragraph" w:styleId="BodyTextIndent3">
    <w:name w:val="Body Text Indent 3"/>
    <w:basedOn w:val="Normal"/>
    <w:semiHidden/>
    <w:pPr>
      <w:ind w:left="851"/>
    </w:pPr>
  </w:style>
  <w:style w:type="paragraph" w:styleId="Bulletlist" w:customStyle="1">
    <w:name w:val="Bullet list"/>
    <w:basedOn w:val="Normal"/>
    <w:pPr>
      <w:spacing w:after="200"/>
      <w:ind w:left="1080" w:hanging="360"/>
      <w:jc w:val="both"/>
    </w:pPr>
    <w:rPr>
      <w:rFonts w:ascii="Helvetica" w:hAnsi="Helvetica"/>
    </w:rPr>
  </w:style>
  <w:style w:type="paragraph" w:styleId="BodyText1" w:customStyle="1">
    <w:name w:val="Body Text 1"/>
    <w:basedOn w:val="Normal"/>
    <w:pPr>
      <w:spacing w:before="60" w:after="60"/>
      <w:ind w:left="709"/>
    </w:pPr>
    <w:rPr>
      <w:rFonts w:ascii="Helvetica" w:hAnsi="Helvetica"/>
    </w:rPr>
  </w:style>
  <w:style w:type="paragraph" w:styleId="TableText" w:customStyle="1">
    <w:name w:val="Table Text"/>
    <w:basedOn w:val="BodyText2"/>
    <w:pPr>
      <w:ind w:left="0"/>
    </w:pPr>
    <w:rPr>
      <w:b w:val="0"/>
      <w:sz w:val="16"/>
    </w:rPr>
  </w:style>
  <w:style w:type="paragraph" w:styleId="AppendixHeading" w:customStyle="1">
    <w:name w:val="Appendix Heading"/>
    <w:basedOn w:val="Heading1"/>
    <w:autoRedefine/>
    <w:pPr>
      <w:numPr>
        <w:numId w:val="0"/>
      </w:numPr>
      <w:tabs>
        <w:tab w:val="left" w:pos="2835"/>
        <w:tab w:val="left" w:pos="6804"/>
      </w:tabs>
      <w:spacing w:before="200" w:after="200"/>
      <w:jc w:val="center"/>
      <w:outlineLvl w:val="9"/>
    </w:pPr>
  </w:style>
  <w:style w:type="paragraph" w:styleId="TOC1">
    <w:name w:val="toc 1"/>
    <w:basedOn w:val="Normal"/>
    <w:next w:val="Normal"/>
    <w:autoRedefine/>
    <w:uiPriority w:val="39"/>
    <w:pPr>
      <w:spacing w:before="120" w:after="120"/>
      <w:ind w:left="0"/>
    </w:pPr>
    <w:rPr>
      <w:b/>
      <w:caps/>
    </w:rPr>
  </w:style>
  <w:style w:type="paragraph" w:styleId="TOC2">
    <w:name w:val="toc 2"/>
    <w:basedOn w:val="Normal"/>
    <w:next w:val="Normal"/>
    <w:autoRedefine/>
    <w:uiPriority w:val="39"/>
    <w:pPr>
      <w:ind w:left="200"/>
    </w:pPr>
    <w:rPr>
      <w:smallCaps/>
    </w:rPr>
  </w:style>
  <w:style w:type="paragraph" w:styleId="List">
    <w:name w:val="List"/>
    <w:basedOn w:val="Normal"/>
    <w:semiHidden/>
    <w:pPr>
      <w:tabs>
        <w:tab w:val="left" w:pos="2977"/>
      </w:tabs>
      <w:ind w:left="1264" w:hanging="567"/>
    </w:pPr>
    <w:rPr>
      <w:rFonts w:ascii="Helvetica" w:hAnsi="Helvetica"/>
    </w:rPr>
  </w:style>
  <w:style w:type="paragraph" w:styleId="BodyText3">
    <w:name w:val="Body Text 3"/>
    <w:basedOn w:val="Normal"/>
    <w:semiHidden/>
    <w:pPr>
      <w:spacing w:before="60" w:after="60"/>
      <w:ind w:left="1418"/>
    </w:pPr>
    <w:rPr>
      <w:rFonts w:ascii="Helvetica" w:hAnsi="Helvetica"/>
    </w:rPr>
  </w:style>
  <w:style w:type="paragraph" w:styleId="ListBullet">
    <w:name w:val="List Bullet"/>
    <w:basedOn w:val="Normal"/>
    <w:autoRedefine/>
    <w:semiHidden/>
    <w:pPr>
      <w:spacing w:after="120"/>
      <w:ind w:left="709" w:firstLine="11"/>
    </w:pPr>
    <w:rPr>
      <w:rFonts w:ascii="Helvetica" w:hAnsi="Helvetica"/>
    </w:rPr>
  </w:style>
  <w:style w:type="paragraph" w:styleId="DocumentMap">
    <w:name w:val="Document Map"/>
    <w:basedOn w:val="Normal"/>
    <w:semiHidden/>
    <w:pPr>
      <w:shd w:val="clear" w:color="auto" w:fill="000080"/>
    </w:pPr>
    <w:rPr>
      <w:rFonts w:ascii="Tahoma" w:hAnsi="Tahoma"/>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rPr>
      <w:rFonts w:ascii="Times New Roman" w:hAnsi="Times New Roman"/>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Normal"/>
    <w:next w:val="Normal"/>
    <w:autoRedefine/>
    <w:semiHidden/>
    <w:pPr>
      <w:ind w:left="1200"/>
    </w:pPr>
    <w:rPr>
      <w:rFonts w:ascii="Times New Roman" w:hAnsi="Times New Roman"/>
      <w:sz w:val="18"/>
    </w:rPr>
  </w:style>
  <w:style w:type="paragraph" w:styleId="TOC8">
    <w:name w:val="toc 8"/>
    <w:basedOn w:val="Normal"/>
    <w:next w:val="Normal"/>
    <w:autoRedefine/>
    <w:semiHidden/>
    <w:pPr>
      <w:ind w:left="1400"/>
    </w:pPr>
    <w:rPr>
      <w:rFonts w:ascii="Times New Roman" w:hAnsi="Times New Roman"/>
      <w:sz w:val="18"/>
    </w:rPr>
  </w:style>
  <w:style w:type="paragraph" w:styleId="TOC9">
    <w:name w:val="toc 9"/>
    <w:basedOn w:val="Normal"/>
    <w:next w:val="Normal"/>
    <w:autoRedefine/>
    <w:semiHidden/>
    <w:pPr>
      <w:ind w:left="1600"/>
    </w:pPr>
    <w:rPr>
      <w:rFonts w:ascii="Times New Roman" w:hAnsi="Times New Roman"/>
      <w:sz w:val="18"/>
    </w:rPr>
  </w:style>
  <w:style w:type="paragraph" w:styleId="List2">
    <w:name w:val="List 2"/>
    <w:basedOn w:val="Normal"/>
    <w:semiHidden/>
    <w:pPr>
      <w:ind w:left="566" w:hanging="283"/>
    </w:pPr>
  </w:style>
  <w:style w:type="paragraph" w:styleId="Caption">
    <w:name w:val="caption"/>
    <w:basedOn w:val="Normal"/>
    <w:next w:val="Normal"/>
    <w:qFormat/>
    <w:rPr>
      <w:b/>
      <w:bCs/>
    </w:rPr>
  </w:style>
  <w:style w:type="character" w:styleId="HeaderChar" w:customStyle="1">
    <w:name w:val="Header Char"/>
    <w:aliases w:val="h Char"/>
    <w:link w:val="Header"/>
    <w:rsid w:val="002B3764"/>
    <w:rPr>
      <w:rFonts w:ascii="Arial" w:hAnsi="Arial"/>
      <w:lang w:eastAsia="en-US"/>
    </w:rPr>
  </w:style>
  <w:style w:type="character" w:styleId="FooterChar" w:customStyle="1">
    <w:name w:val="Footer Char"/>
    <w:link w:val="Footer"/>
    <w:rsid w:val="002B3764"/>
    <w:rPr>
      <w:rFonts w:ascii="Arial" w:hAnsi="Arial"/>
      <w:lang w:eastAsia="en-US"/>
    </w:rPr>
  </w:style>
  <w:style w:type="character" w:styleId="Hyperlink">
    <w:name w:val="Hyperlink"/>
    <w:uiPriority w:val="99"/>
    <w:unhideWhenUsed/>
    <w:rsid w:val="002F38DA"/>
    <w:rPr>
      <w:color w:val="0000FF"/>
      <w:u w:val="single"/>
    </w:rPr>
  </w:style>
  <w:style w:type="paragraph" w:styleId="text" w:customStyle="1">
    <w:name w:val="text"/>
    <w:basedOn w:val="Normal"/>
    <w:rsid w:val="001D7833"/>
    <w:pPr>
      <w:keepLines/>
      <w:spacing w:after="240"/>
      <w:ind w:left="567"/>
      <w:jc w:val="both"/>
    </w:pPr>
    <w:rPr>
      <w:rFonts w:ascii="Times New Roman" w:hAnsi="Times New Roman"/>
      <w:sz w:val="22"/>
    </w:rPr>
  </w:style>
  <w:style w:type="paragraph" w:styleId="ListParagraph">
    <w:name w:val="List Paragraph"/>
    <w:basedOn w:val="Normal"/>
    <w:uiPriority w:val="34"/>
    <w:qFormat/>
    <w:rsid w:val="00B61385"/>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189194">
      <w:bodyDiv w:val="1"/>
      <w:marLeft w:val="0"/>
      <w:marRight w:val="0"/>
      <w:marTop w:val="0"/>
      <w:marBottom w:val="0"/>
      <w:divBdr>
        <w:top w:val="none" w:sz="0" w:space="0" w:color="auto"/>
        <w:left w:val="none" w:sz="0" w:space="0" w:color="auto"/>
        <w:bottom w:val="none" w:sz="0" w:space="0" w:color="auto"/>
        <w:right w:val="none" w:sz="0" w:space="0" w:color="auto"/>
      </w:divBdr>
    </w:div>
    <w:div w:id="1071853524">
      <w:bodyDiv w:val="1"/>
      <w:marLeft w:val="0"/>
      <w:marRight w:val="0"/>
      <w:marTop w:val="0"/>
      <w:marBottom w:val="0"/>
      <w:divBdr>
        <w:top w:val="none" w:sz="0" w:space="0" w:color="auto"/>
        <w:left w:val="none" w:sz="0" w:space="0" w:color="auto"/>
        <w:bottom w:val="none" w:sz="0" w:space="0" w:color="auto"/>
        <w:right w:val="none" w:sz="0" w:space="0" w:color="auto"/>
      </w:divBdr>
    </w:div>
    <w:div w:id="134802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83A5AD0187EB45BB01D66CC8FB7C68" ma:contentTypeVersion="15" ma:contentTypeDescription="Create a new document." ma:contentTypeScope="" ma:versionID="1a216f54022bbd6a8717cfdc8234cb04">
  <xsd:schema xmlns:xsd="http://www.w3.org/2001/XMLSchema" xmlns:xs="http://www.w3.org/2001/XMLSchema" xmlns:p="http://schemas.microsoft.com/office/2006/metadata/properties" xmlns:ns2="afe30c4e-09e9-4d37-920b-db68e726f0a2" xmlns:ns3="ea5e1c46-9147-4f59-8a33-25de237d43ec" targetNamespace="http://schemas.microsoft.com/office/2006/metadata/properties" ma:root="true" ma:fieldsID="98d24a0791cd1ec6d8ececde54df8db3" ns2:_="" ns3:_="">
    <xsd:import namespace="afe30c4e-09e9-4d37-920b-db68e726f0a2"/>
    <xsd:import namespace="ea5e1c46-9147-4f59-8a33-25de237d43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30c4e-09e9-4d37-920b-db68e726f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adc650-3c94-4fb8-a75e-4bb90db9e72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e1c46-9147-4f59-8a33-25de237d43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4e9a0-ae1c-44d5-b673-d4d2a5be22eb}" ma:internalName="TaxCatchAll" ma:showField="CatchAllData" ma:web="ea5e1c46-9147-4f59-8a33-25de237d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5e1c46-9147-4f59-8a33-25de237d43ec" xsi:nil="true"/>
    <lcf76f155ced4ddcb4097134ff3c332f xmlns="afe30c4e-09e9-4d37-920b-db68e726f0a2">
      <Terms xmlns="http://schemas.microsoft.com/office/infopath/2007/PartnerControls"/>
    </lcf76f155ced4ddcb4097134ff3c332f>
    <MediaLengthInSeconds xmlns="afe30c4e-09e9-4d37-920b-db68e726f0a2" xsi:nil="true"/>
  </documentManagement>
</p:properties>
</file>

<file path=customXml/itemProps1.xml><?xml version="1.0" encoding="utf-8"?>
<ds:datastoreItem xmlns:ds="http://schemas.openxmlformats.org/officeDocument/2006/customXml" ds:itemID="{7BBAB029-64C4-4229-95E4-5DF31CD04BAF}">
  <ds:schemaRefs>
    <ds:schemaRef ds:uri="http://schemas.openxmlformats.org/officeDocument/2006/bibliography"/>
  </ds:schemaRefs>
</ds:datastoreItem>
</file>

<file path=customXml/itemProps2.xml><?xml version="1.0" encoding="utf-8"?>
<ds:datastoreItem xmlns:ds="http://schemas.openxmlformats.org/officeDocument/2006/customXml" ds:itemID="{66322AEE-2E03-48AD-AD52-9F7A24D52092}"/>
</file>

<file path=customXml/itemProps3.xml><?xml version="1.0" encoding="utf-8"?>
<ds:datastoreItem xmlns:ds="http://schemas.openxmlformats.org/officeDocument/2006/customXml" ds:itemID="{3FA609D9-7932-4A76-ADD4-F9741517F9D9}"/>
</file>

<file path=customXml/itemProps4.xml><?xml version="1.0" encoding="utf-8"?>
<ds:datastoreItem xmlns:ds="http://schemas.openxmlformats.org/officeDocument/2006/customXml" ds:itemID="{5C10642D-E6B8-4F58-852D-765A5C56D3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Simply Safety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Eric Whittle</dc:creator>
  <keywords>01</keywords>
  <lastModifiedBy>Sarah Roe</lastModifiedBy>
  <revision>3</revision>
  <lastPrinted>2020-02-07T10:06:00.0000000Z</lastPrinted>
  <dcterms:created xsi:type="dcterms:W3CDTF">2020-07-01T12:54:00.0000000Z</dcterms:created>
  <dcterms:modified xsi:type="dcterms:W3CDTF">2026-04-13T13:53:45.3511715Z</dcterms:modified>
  <category>03</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0x010100C483A5AD0187EB45BB01D66CC8FB7C68</vt:lpwstr>
  </property>
  <property fmtid="{D5CDD505-2E9C-101B-9397-08002B2CF9AE}" pid="3" name="Order">
    <vt:r8>1408700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